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18" w:rsidRPr="004B56DA" w:rsidRDefault="00333D18" w:rsidP="00333D18">
      <w:pPr>
        <w:spacing w:after="0" w:line="240" w:lineRule="auto"/>
        <w:rPr>
          <w:rFonts w:asciiTheme="minorHAnsi" w:hAnsiTheme="minorHAnsi" w:cs="Calibri Light"/>
          <w:b/>
          <w:bCs/>
          <w:lang w:val="sq-AL"/>
        </w:rPr>
      </w:pPr>
      <w:r w:rsidRPr="004B56DA">
        <w:rPr>
          <w:rFonts w:asciiTheme="minorHAnsi" w:hAnsiTheme="minorHAnsi" w:cs="Calibri Light"/>
          <w:b/>
          <w:noProof/>
        </w:rPr>
        <w:drawing>
          <wp:inline distT="0" distB="0" distL="0" distR="0" wp14:anchorId="3248E041" wp14:editId="30CFED6A">
            <wp:extent cx="2501900" cy="353695"/>
            <wp:effectExtent l="19050" t="0" r="0" b="0"/>
            <wp:docPr id="2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18" w:rsidRPr="004B56DA" w:rsidRDefault="00333D18" w:rsidP="00333D18">
      <w:pPr>
        <w:rPr>
          <w:rFonts w:asciiTheme="minorHAnsi" w:hAnsiTheme="minorHAnsi" w:cs="Calibri Light"/>
          <w:b/>
          <w:bCs/>
          <w:lang w:val="sq-AL"/>
        </w:rPr>
      </w:pPr>
      <w:r w:rsidRPr="004B56DA">
        <w:rPr>
          <w:rFonts w:asciiTheme="minorHAnsi" w:hAnsiTheme="minorHAnsi" w:cs="Calibri Light"/>
          <w:b/>
          <w:bCs/>
          <w:lang w:val="sq-AL"/>
        </w:rPr>
        <w:t xml:space="preserve">_____________________________________________________________________________________ </w:t>
      </w:r>
    </w:p>
    <w:p w:rsidR="00333D18" w:rsidRPr="004B56DA" w:rsidRDefault="00333D18" w:rsidP="00333D18">
      <w:pPr>
        <w:jc w:val="both"/>
        <w:outlineLvl w:val="0"/>
        <w:rPr>
          <w:rFonts w:asciiTheme="minorHAnsi" w:hAnsiTheme="minorHAnsi" w:cs="Calibri Light"/>
          <w:bCs/>
          <w:lang w:val="sq-AL"/>
        </w:rPr>
      </w:pPr>
      <w:r w:rsidRPr="004B56DA">
        <w:rPr>
          <w:rFonts w:asciiTheme="minorHAnsi" w:hAnsiTheme="minorHAnsi" w:cs="Calibri Light"/>
          <w:lang w:val="sq-AL"/>
        </w:rPr>
        <w:t xml:space="preserve">Në bazë të dispozitave të nenit 21 të Ligjit nr. 03/L-087 mbi Ndërmarrjet Publike, respektivisht dispozitave të nenit 13 të Ligjit nr. 04/L-111 për ndryshimin dhe plotësimin e ligjit nr. 03/L-087 për Ndërmarrjet Publike, nenit 26 të Statutit të </w:t>
      </w:r>
      <w:r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Pr="004B56DA">
        <w:rPr>
          <w:rFonts w:asciiTheme="minorHAnsi" w:hAnsiTheme="minorHAnsi" w:cs="Calibri Light"/>
          <w:bCs/>
          <w:lang w:val="sq-AL"/>
        </w:rPr>
        <w:t>” SH.A</w:t>
      </w:r>
      <w:r w:rsidRPr="004B56DA">
        <w:rPr>
          <w:rFonts w:asciiTheme="minorHAnsi" w:hAnsiTheme="minorHAnsi" w:cs="Calibri Light"/>
          <w:lang w:val="sq-AL"/>
        </w:rPr>
        <w:t xml:space="preserve">, Bordi i Drejtorëve të </w:t>
      </w:r>
      <w:r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Pr="004B56DA">
        <w:rPr>
          <w:rFonts w:asciiTheme="minorHAnsi" w:hAnsiTheme="minorHAnsi" w:cs="Calibri Light"/>
          <w:bCs/>
          <w:lang w:val="sq-AL"/>
        </w:rPr>
        <w:t>” SH.A, në Prishtinë në mbledhjen e mbajtur me 05.11.2018, mori vendim të publikojë:</w:t>
      </w:r>
    </w:p>
    <w:p w:rsidR="00333D18" w:rsidRPr="004B56DA" w:rsidRDefault="00333D18" w:rsidP="00333D18">
      <w:pPr>
        <w:pStyle w:val="Title"/>
        <w:jc w:val="left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333D18" w:rsidRPr="004B56DA" w:rsidRDefault="00333D18" w:rsidP="00333D18">
      <w:pPr>
        <w:pStyle w:val="Title"/>
        <w:jc w:val="left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333D18" w:rsidRPr="004B56DA" w:rsidRDefault="00333D18" w:rsidP="00333D18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 xml:space="preserve"> K O N K U R S </w:t>
      </w:r>
    </w:p>
    <w:p w:rsidR="00333D18" w:rsidRPr="004B56DA" w:rsidRDefault="00333D18" w:rsidP="00333D18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333D18" w:rsidRPr="004B56DA" w:rsidRDefault="00333D18" w:rsidP="00333D18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>PËR PLOTËSIMIN E VENDIT TË  PUNËS</w:t>
      </w:r>
    </w:p>
    <w:p w:rsidR="00333D18" w:rsidRPr="004B56DA" w:rsidRDefault="00333D18" w:rsidP="00333D18">
      <w:pPr>
        <w:rPr>
          <w:rFonts w:asciiTheme="minorHAnsi" w:hAnsiTheme="minorHAnsi" w:cs="Calibri Light"/>
          <w:b/>
          <w:lang w:val="sq-AL"/>
        </w:rPr>
      </w:pPr>
    </w:p>
    <w:p w:rsidR="00333D18" w:rsidRPr="004B56DA" w:rsidRDefault="00333D18" w:rsidP="00333D18">
      <w:pPr>
        <w:rPr>
          <w:rFonts w:asciiTheme="minorHAnsi" w:hAnsiTheme="minorHAnsi" w:cs="Calibri Light"/>
          <w:b/>
          <w:u w:val="single"/>
          <w:lang w:val="sq-AL"/>
        </w:rPr>
      </w:pPr>
      <w:r w:rsidRPr="004B56DA">
        <w:rPr>
          <w:rFonts w:asciiTheme="minorHAnsi" w:hAnsiTheme="minorHAnsi" w:cs="Calibri Light"/>
          <w:lang w:val="sq-AL"/>
        </w:rPr>
        <w:t>Titulli i pozitës:</w:t>
      </w:r>
      <w:r w:rsidRPr="004B56DA">
        <w:rPr>
          <w:rFonts w:asciiTheme="minorHAnsi" w:hAnsiTheme="minorHAnsi" w:cs="Calibri Light"/>
          <w:b/>
          <w:u w:val="single"/>
          <w:lang w:val="sq-AL"/>
        </w:rPr>
        <w:t xml:space="preserve"> </w:t>
      </w:r>
      <w:bookmarkStart w:id="0" w:name="_GoBack"/>
      <w:r w:rsidRPr="004B56DA">
        <w:rPr>
          <w:rFonts w:asciiTheme="minorHAnsi" w:hAnsiTheme="minorHAnsi" w:cs="Calibri Light"/>
          <w:b/>
          <w:u w:val="single"/>
          <w:lang w:val="sq-AL"/>
        </w:rPr>
        <w:t>Zyrtar Kryesor Financiar dhe i Thesarit</w:t>
      </w:r>
    </w:p>
    <w:bookmarkEnd w:id="0"/>
    <w:p w:rsidR="00333D18" w:rsidRPr="004B56DA" w:rsidRDefault="00333D18" w:rsidP="00333D18">
      <w:pPr>
        <w:rPr>
          <w:rFonts w:asciiTheme="minorHAnsi" w:hAnsiTheme="minorHAnsi" w:cs="Calibri Light"/>
          <w:b/>
          <w:bCs/>
          <w:color w:val="333333"/>
          <w:u w:val="single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Kualifikimet dhe përgatitja profesionale</w:t>
      </w:r>
    </w:p>
    <w:p w:rsidR="00333D18" w:rsidRPr="004B56DA" w:rsidRDefault="00333D18" w:rsidP="00333D18">
      <w:pPr>
        <w:pStyle w:val="Title"/>
        <w:numPr>
          <w:ilvl w:val="3"/>
          <w:numId w:val="3"/>
        </w:numPr>
        <w:tabs>
          <w:tab w:val="left" w:pos="1080"/>
        </w:tabs>
        <w:ind w:left="1080"/>
        <w:jc w:val="left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color w:val="333333"/>
          <w:sz w:val="22"/>
          <w:szCs w:val="22"/>
          <w:u w:val="none"/>
          <w:shd w:val="clear" w:color="auto" w:fill="FFFFFF"/>
          <w:lang w:val="sq-AL"/>
        </w:rPr>
        <w:t xml:space="preserve">Të posedojë diplomë universitare- 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Fakulteti ekonomik, n</w:t>
      </w:r>
      <w:r w:rsidRPr="004B56DA">
        <w:rPr>
          <w:rFonts w:asciiTheme="minorHAnsi" w:hAnsiTheme="minorHAnsi" w:cs="Calibri Light"/>
          <w:b w:val="0"/>
          <w:color w:val="333333"/>
          <w:sz w:val="22"/>
          <w:szCs w:val="22"/>
          <w:u w:val="none"/>
          <w:shd w:val="clear" w:color="auto" w:fill="FFFFFF"/>
          <w:lang w:val="sq-AL"/>
        </w:rPr>
        <w:t xml:space="preserve">ga Fusha e Financave/kontabilitet. (Ekonomist i diplomuar ose </w:t>
      </w:r>
      <w:proofErr w:type="spellStart"/>
      <w:r w:rsidRPr="004B56DA">
        <w:rPr>
          <w:rFonts w:asciiTheme="minorHAnsi" w:hAnsiTheme="minorHAnsi" w:cs="Calibri Light"/>
          <w:b w:val="0"/>
          <w:color w:val="333333"/>
          <w:sz w:val="22"/>
          <w:szCs w:val="22"/>
          <w:u w:val="none"/>
          <w:shd w:val="clear" w:color="auto" w:fill="FFFFFF"/>
          <w:lang w:val="sq-AL"/>
        </w:rPr>
        <w:t>master</w:t>
      </w:r>
      <w:proofErr w:type="spellEnd"/>
      <w:r w:rsidRPr="004B56DA">
        <w:rPr>
          <w:rFonts w:asciiTheme="minorHAnsi" w:hAnsiTheme="minorHAnsi" w:cs="Calibri Light"/>
          <w:b w:val="0"/>
          <w:color w:val="333333"/>
          <w:sz w:val="22"/>
          <w:szCs w:val="22"/>
          <w:u w:val="none"/>
          <w:shd w:val="clear" w:color="auto" w:fill="FFFFFF"/>
          <w:lang w:val="sq-AL"/>
        </w:rPr>
        <w:t xml:space="preserve"> në shkenca ekonomike);</w:t>
      </w:r>
    </w:p>
    <w:p w:rsidR="00333D18" w:rsidRPr="004B56DA" w:rsidRDefault="00333D18" w:rsidP="00333D18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Të posedojë p</w:t>
      </w:r>
      <w:r w:rsidRPr="004B56DA">
        <w:rPr>
          <w:rFonts w:asciiTheme="minorHAnsi" w:hAnsiTheme="minorHAnsi" w:cs="Calibri Light"/>
        </w:rPr>
        <w:t>ërvojë profesionale mbi (5) pesë vite nga fusha e financave dhe kontabilitetit</w:t>
      </w:r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333D18" w:rsidRPr="004B56DA" w:rsidRDefault="00333D18" w:rsidP="00333D18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Të ketë shkathtësi kompjuterike, posaçërisht mbi sistemet e avancuara në fushën e financave/kontabilitetit;</w:t>
      </w:r>
    </w:p>
    <w:p w:rsidR="00333D18" w:rsidRPr="004B56DA" w:rsidRDefault="00333D18" w:rsidP="00333D18">
      <w:pPr>
        <w:pStyle w:val="ListParagraph"/>
        <w:numPr>
          <w:ilvl w:val="0"/>
          <w:numId w:val="3"/>
        </w:numPr>
        <w:tabs>
          <w:tab w:val="left" w:pos="720"/>
          <w:tab w:val="left" w:pos="1170"/>
        </w:tabs>
        <w:ind w:left="1080"/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Të plotësojë kushtet e kualifikimit sipas nenit 17.1 si dhe të plotësojë kriteret e pavarësisë sipas nenit 17.2 pikat (d),(f),(j),(k),(l) të Ligjit nr. 03/L -087 të Ndërmarrjeve Publike dhe Plotësim Ndryshimit të LNP nr. 04/L-111 neni 13;</w:t>
      </w:r>
    </w:p>
    <w:p w:rsidR="00333D18" w:rsidRPr="004B56DA" w:rsidRDefault="00333D18" w:rsidP="00333D18">
      <w:pPr>
        <w:pStyle w:val="ListParagraph"/>
        <w:numPr>
          <w:ilvl w:val="0"/>
          <w:numId w:val="3"/>
        </w:numPr>
        <w:tabs>
          <w:tab w:val="left" w:pos="720"/>
        </w:tabs>
        <w:ind w:left="1080"/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Njohja e gjuhës angleze (e dëshirueshme);</w:t>
      </w:r>
    </w:p>
    <w:p w:rsidR="00333D18" w:rsidRPr="004B56DA" w:rsidRDefault="00333D18" w:rsidP="00333D18">
      <w:pPr>
        <w:pStyle w:val="ListParagraph"/>
        <w:tabs>
          <w:tab w:val="left" w:pos="1080"/>
          <w:tab w:val="left" w:pos="1170"/>
        </w:tabs>
        <w:ind w:left="1080"/>
        <w:jc w:val="both"/>
        <w:rPr>
          <w:rFonts w:asciiTheme="minorHAnsi" w:hAnsiTheme="minorHAnsi" w:cs="Calibri Light"/>
          <w:sz w:val="22"/>
          <w:szCs w:val="22"/>
        </w:rPr>
      </w:pPr>
    </w:p>
    <w:p w:rsidR="00333D18" w:rsidRPr="004B56DA" w:rsidRDefault="00333D18" w:rsidP="00333D18">
      <w:pPr>
        <w:pStyle w:val="Title"/>
        <w:jc w:val="both"/>
        <w:outlineLvl w:val="0"/>
        <w:rPr>
          <w:rFonts w:asciiTheme="minorHAnsi" w:hAnsiTheme="minorHAnsi" w:cs="Calibri Light"/>
          <w:sz w:val="22"/>
          <w:szCs w:val="22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lang w:val="sq-AL"/>
        </w:rPr>
        <w:t xml:space="preserve">Detyrat dhe përgjegjësitë kryesore:   </w:t>
      </w:r>
    </w:p>
    <w:p w:rsidR="00333D18" w:rsidRPr="004B56DA" w:rsidRDefault="00333D18" w:rsidP="00333D18">
      <w:pPr>
        <w:pStyle w:val="Title"/>
        <w:jc w:val="both"/>
        <w:outlineLvl w:val="0"/>
        <w:rPr>
          <w:rFonts w:asciiTheme="minorHAnsi" w:hAnsiTheme="minorHAnsi" w:cs="Calibri Light"/>
          <w:sz w:val="22"/>
          <w:szCs w:val="22"/>
          <w:lang w:val="sq-AL"/>
        </w:rPr>
      </w:pPr>
    </w:p>
    <w:p w:rsidR="00333D18" w:rsidRPr="004B56DA" w:rsidRDefault="00333D18" w:rsidP="00333D18">
      <w:pPr>
        <w:pStyle w:val="Title"/>
        <w:jc w:val="both"/>
        <w:outlineLvl w:val="0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lang w:val="sq-AL"/>
        </w:rPr>
        <w:t>Zyrtari Kryesor Financiar dhe i Thesarit ka këto detyra dhe përgjegjësi</w:t>
      </w:r>
    </w:p>
    <w:p w:rsidR="00333D18" w:rsidRPr="004B56DA" w:rsidRDefault="00333D18" w:rsidP="00333D18">
      <w:pPr>
        <w:pStyle w:val="Title"/>
        <w:jc w:val="both"/>
        <w:rPr>
          <w:rFonts w:asciiTheme="minorHAnsi" w:hAnsiTheme="minorHAnsi" w:cs="Calibri Light"/>
          <w:sz w:val="22"/>
          <w:szCs w:val="22"/>
          <w:lang w:val="sq-AL"/>
        </w:rPr>
      </w:pP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sz w:val="22"/>
          <w:szCs w:val="22"/>
          <w:u w:val="none"/>
          <w:lang w:val="sq-AL"/>
        </w:rPr>
        <w:t>Është përgjegjës për zbatimin e të gjitha dispozitave financiare dhe standardeve të kontabilitetit, ligjet e aplikueshme në Kosovë të cilat rregullojnë çështjet financiare dhe aktet normative të ndërmarrjes;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Organizon udhëheq dhe kontrollon punën e departamentit financiar;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>
        <w:rPr>
          <w:rFonts w:asciiTheme="minorHAnsi" w:hAnsiTheme="minorHAnsi" w:cs="Calibri Light"/>
          <w:b w:val="0"/>
          <w:sz w:val="22"/>
          <w:szCs w:val="22"/>
          <w:u w:val="none"/>
          <w:lang w:val="sq-AL"/>
        </w:rPr>
        <w:t>Mban</w:t>
      </w:r>
      <w:r w:rsidRPr="004B56DA">
        <w:rPr>
          <w:rFonts w:asciiTheme="minorHAnsi" w:hAnsiTheme="minorHAnsi" w:cs="Calibri Light"/>
          <w:b w:val="0"/>
          <w:sz w:val="22"/>
          <w:szCs w:val="22"/>
          <w:u w:val="none"/>
          <w:lang w:val="sq-AL"/>
        </w:rPr>
        <w:t xml:space="preserve"> përgjegjësi për pagesën e obligimeve financiare në pajtim me rregulloret financiare;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Mban evidencë dhe dokumentacion të saktë për investimet dhe pagesat e ndërmarrjes;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Përcjell dispozitat financiare në fuqi dhe lit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eraturën profesionale dhe mban 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përgjegjësi nëse nuk aplikohen ligjet në fuqi;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Kujdeset për pasurinë e ndërmarrjes, monitoron punën e komisioneve, kontrollon hyrje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-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daljet financiare në përgjithësi;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Përcjell gjendjen financiare në banka dhe bashkëpunon me 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i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nstitucionet bankare dhe organet tjera në interes të ndërmarrjes;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Përgatit llogaritë periodike dhe përfundimtare;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lastRenderedPageBreak/>
        <w:t xml:space="preserve">Është përgjegjës për përgatitjen e </w:t>
      </w:r>
      <w:proofErr w:type="spellStart"/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transfereve</w:t>
      </w:r>
      <w:proofErr w:type="spellEnd"/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bankare përkatësisht pagesave me dokumentacion mbështetës dhe siguron KE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-në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se pagesa është në rregull;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Harton, zbaton dhe kontrollon zbatimin e proceduarave financiare nga vartësit;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Është përgjegjës të kontrollo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jë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mbajtjen në rregull të arkivit të dokumentacionit të 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k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ontabilitetit dhe 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atij 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financiar;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Zhvillon dhe zbaton rregullat e brendshme të kontrollit si dhe udhëzimet dhe procedurat për aktivitete si administrimi i buxhetit, menaxhimi i pasurive dhe detyrimeve dhe mbajtja e llogarive;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Është përgjegjës për rregullsinë e proceseve në funksionin e kontabilitetit në kompani, përgatit dhe zbaton procedurat e kontabilitetit sipas ligjeve të aplikueshme në Kosovë, si dhe me kompetencë menaxhon resurset financiare të kompanisë brenda ligjeve dhe rregulloreve të aplikueshme;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Të përgatis të dhënat e ndërmarrjes për </w:t>
      </w:r>
      <w:proofErr w:type="spellStart"/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auditim</w:t>
      </w:r>
      <w:proofErr w:type="spellEnd"/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Mbanë përgjegjësi për kryerjen e regjistrimeve dhe barazimeve të pasurisë së Ndërmarrjes;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Përgatit raportet periodike dhe vjetore të Ndërmarrjes për KE dhe Bordin e Drejtorëve.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Ushtron kujdes për ecurinë e shpenzimeve të Ndërmarrjes, pagesën e obligimeve Ligjore dhe afarizmin e Ndërmarrjes;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ZKFTH i raporton KE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-së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si dhe Bordit të Drejtorëve;</w:t>
      </w:r>
    </w:p>
    <w:p w:rsidR="00333D18" w:rsidRPr="004B56DA" w:rsidRDefault="00333D18" w:rsidP="00333D18">
      <w:pPr>
        <w:pStyle w:val="Title"/>
        <w:numPr>
          <w:ilvl w:val="0"/>
          <w:numId w:val="4"/>
        </w:numPr>
        <w:ind w:hanging="300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Kryen edhe punë të tjera</w:t>
      </w:r>
      <w:r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>, për të</w:t>
      </w:r>
      <w:r w:rsidRPr="004B56DA"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  <w:t xml:space="preserve"> cilat autorizohet nga KE dhe Bordi i Drejtorëve. </w:t>
      </w:r>
    </w:p>
    <w:p w:rsidR="00333D18" w:rsidRPr="004B56DA" w:rsidRDefault="00333D18" w:rsidP="00333D18">
      <w:pPr>
        <w:jc w:val="both"/>
        <w:rPr>
          <w:rFonts w:asciiTheme="minorHAnsi" w:hAnsiTheme="minorHAnsi" w:cs="Calibri Light"/>
          <w:b/>
          <w:u w:val="single"/>
          <w:lang w:val="sq-AL"/>
        </w:rPr>
      </w:pPr>
    </w:p>
    <w:p w:rsidR="00333D18" w:rsidRPr="004B56DA" w:rsidRDefault="00333D18" w:rsidP="00333D18">
      <w:pPr>
        <w:spacing w:after="0"/>
        <w:jc w:val="both"/>
        <w:rPr>
          <w:rFonts w:asciiTheme="minorHAnsi" w:hAnsiTheme="minorHAnsi" w:cs="Calibri Light"/>
          <w:b/>
          <w:u w:val="single"/>
          <w:lang w:val="sq-AL"/>
        </w:rPr>
      </w:pPr>
      <w:r w:rsidRPr="004B56DA">
        <w:rPr>
          <w:rFonts w:asciiTheme="minorHAnsi" w:hAnsiTheme="minorHAnsi" w:cs="Calibri Light"/>
          <w:b/>
          <w:u w:val="single"/>
          <w:lang w:val="sq-AL"/>
        </w:rPr>
        <w:t>Informatë për procedurën</w:t>
      </w:r>
      <w:r>
        <w:rPr>
          <w:rFonts w:asciiTheme="minorHAnsi" w:hAnsiTheme="minorHAnsi" w:cs="Calibri Light"/>
          <w:b/>
          <w:u w:val="single"/>
          <w:lang w:val="sq-AL"/>
        </w:rPr>
        <w:t xml:space="preserve"> e </w:t>
      </w:r>
      <w:proofErr w:type="spellStart"/>
      <w:r>
        <w:rPr>
          <w:rFonts w:asciiTheme="minorHAnsi" w:hAnsiTheme="minorHAnsi" w:cs="Calibri Light"/>
          <w:b/>
          <w:u w:val="single"/>
          <w:lang w:val="sq-AL"/>
        </w:rPr>
        <w:t>konkur</w:t>
      </w:r>
      <w:r w:rsidRPr="004B56DA">
        <w:rPr>
          <w:rFonts w:asciiTheme="minorHAnsi" w:hAnsiTheme="minorHAnsi" w:cs="Calibri Light"/>
          <w:b/>
          <w:u w:val="single"/>
          <w:lang w:val="sq-AL"/>
        </w:rPr>
        <w:t>imit</w:t>
      </w:r>
      <w:proofErr w:type="spellEnd"/>
    </w:p>
    <w:p w:rsidR="00333D18" w:rsidRPr="004B56DA" w:rsidRDefault="00333D18" w:rsidP="00333D18">
      <w:pPr>
        <w:pStyle w:val="Title"/>
        <w:jc w:val="both"/>
        <w:rPr>
          <w:rFonts w:asciiTheme="minorHAnsi" w:hAnsiTheme="minorHAnsi" w:cs="Calibri Light"/>
          <w:b w:val="0"/>
          <w:bCs/>
          <w:sz w:val="22"/>
          <w:szCs w:val="22"/>
          <w:u w:val="none"/>
          <w:lang w:val="sq-AL"/>
        </w:rPr>
      </w:pPr>
    </w:p>
    <w:p w:rsidR="00333D18" w:rsidRPr="004B56DA" w:rsidRDefault="00333D18" w:rsidP="00333D18">
      <w:pPr>
        <w:jc w:val="both"/>
        <w:rPr>
          <w:rFonts w:asciiTheme="minorHAnsi" w:hAnsiTheme="minorHAnsi" w:cs="Calibri Light"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Aplikantët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e interesuar për këtë vend pune duhet të </w:t>
      </w:r>
      <w:proofErr w:type="spellStart"/>
      <w:r w:rsidRPr="004B56DA">
        <w:rPr>
          <w:rFonts w:asciiTheme="minorHAnsi" w:hAnsiTheme="minorHAnsi" w:cs="Calibri Light"/>
          <w:lang w:val="sq-AL"/>
        </w:rPr>
        <w:t>bashkangjesin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këto dokumente: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Aplikacionin e plotësuar;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CV e </w:t>
      </w:r>
      <w:proofErr w:type="spellStart"/>
      <w:r w:rsidRPr="004B56DA">
        <w:rPr>
          <w:rFonts w:asciiTheme="minorHAnsi" w:hAnsiTheme="minorHAnsi" w:cs="Calibri Light"/>
          <w:sz w:val="22"/>
          <w:szCs w:val="22"/>
        </w:rPr>
        <w:t>aplikantit</w:t>
      </w:r>
      <w:proofErr w:type="spellEnd"/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Diplomën universitare Fakulteti Ekonomik;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Dëshminë mbi përvojën e punës, referencat si dhe certifikata tjera profesionale;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Letër motivimin;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Deklaratën nën betim (merret –nënshkruhet me rastin e dorëzimit të dokumentacionit);</w:t>
      </w:r>
      <w:r w:rsidRPr="004B56DA">
        <w:rPr>
          <w:rFonts w:asciiTheme="minorHAnsi" w:hAnsiTheme="minorHAnsi" w:cs="Calibri Light"/>
          <w:sz w:val="22"/>
          <w:szCs w:val="22"/>
        </w:rPr>
        <w:tab/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Certifikatën që nuk është nën hetime (jo me e vjetër se 3 muaj);</w:t>
      </w:r>
    </w:p>
    <w:p w:rsidR="00333D18" w:rsidRPr="004B56DA" w:rsidRDefault="00333D18" w:rsidP="00333D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Kopjen e letërnjoftimit;</w:t>
      </w:r>
    </w:p>
    <w:p w:rsidR="00333D18" w:rsidRPr="004B56DA" w:rsidRDefault="00333D18" w:rsidP="00333D18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</w:p>
    <w:p w:rsidR="00333D18" w:rsidRPr="004B56DA" w:rsidRDefault="00333D18" w:rsidP="00333D18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</w:t>
      </w:r>
      <w:r>
        <w:rPr>
          <w:rFonts w:asciiTheme="minorHAnsi" w:hAnsiTheme="minorHAnsi" w:cs="Calibri Light"/>
          <w:lang w:val="sq-AL"/>
        </w:rPr>
        <w:t>ë</w:t>
      </w:r>
      <w:r w:rsidRPr="004B56DA">
        <w:rPr>
          <w:rFonts w:asciiTheme="minorHAnsi" w:hAnsiTheme="minorHAnsi" w:cs="Calibri Light"/>
          <w:lang w:val="sq-AL"/>
        </w:rPr>
        <w:t>t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e interesuar kërkesën për aplikim me dokumentacion të rregullt, duhet ta paraqesin në arkivin e NP</w:t>
      </w:r>
      <w:r>
        <w:rPr>
          <w:rFonts w:asciiTheme="minorHAnsi" w:hAnsiTheme="minorHAnsi" w:cs="Calibri Light"/>
          <w:lang w:val="sq-AL"/>
        </w:rPr>
        <w:t xml:space="preserve"> </w:t>
      </w:r>
      <w:r w:rsidRPr="004B56DA">
        <w:rPr>
          <w:rFonts w:asciiTheme="minorHAnsi" w:hAnsiTheme="minorHAnsi" w:cs="Calibri Light"/>
          <w:lang w:val="sq-AL"/>
        </w:rPr>
        <w:t>”</w:t>
      </w:r>
      <w:proofErr w:type="spellStart"/>
      <w:r w:rsidRPr="004B56DA">
        <w:rPr>
          <w:rFonts w:asciiTheme="minorHAnsi" w:hAnsiTheme="minorHAnsi" w:cs="Calibri Light"/>
          <w:lang w:val="sq-AL"/>
        </w:rPr>
        <w:t>Termokos</w:t>
      </w:r>
      <w:proofErr w:type="spellEnd"/>
      <w:r w:rsidRPr="004B56DA">
        <w:rPr>
          <w:rFonts w:asciiTheme="minorHAnsi" w:hAnsiTheme="minorHAnsi" w:cs="Calibri Light"/>
          <w:lang w:val="sq-AL"/>
        </w:rPr>
        <w:t>’’</w:t>
      </w:r>
      <w:proofErr w:type="spellStart"/>
      <w:r w:rsidRPr="004B56DA">
        <w:rPr>
          <w:rFonts w:asciiTheme="minorHAnsi" w:hAnsiTheme="minorHAnsi" w:cs="Calibri Light"/>
          <w:lang w:val="sq-AL"/>
        </w:rPr>
        <w:t>Sh.A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., Rr. 28 Nëntori </w:t>
      </w:r>
      <w:r>
        <w:rPr>
          <w:rFonts w:asciiTheme="minorHAnsi" w:hAnsiTheme="minorHAnsi" w:cs="Calibri Light"/>
          <w:lang w:val="sq-AL"/>
        </w:rPr>
        <w:t>nr.181</w:t>
      </w:r>
      <w:r w:rsidRPr="004B56DA">
        <w:rPr>
          <w:rFonts w:asciiTheme="minorHAnsi" w:hAnsiTheme="minorHAnsi" w:cs="Calibri Light"/>
          <w:lang w:val="sq-AL"/>
        </w:rPr>
        <w:t xml:space="preserve">, në Prishtinë, çdo ditë pune prej orës 8:30 – 15:30, në afat prej 30 ditësh nga data e publikimit të konkursit në mjetet e informimit. Data përfundimtare për dorëzimin e aplikacioneve është </w:t>
      </w:r>
      <w:r>
        <w:rPr>
          <w:rFonts w:asciiTheme="minorHAnsi" w:hAnsiTheme="minorHAnsi" w:cs="Calibri Light"/>
          <w:b/>
          <w:lang w:val="sq-AL"/>
        </w:rPr>
        <w:t>07</w:t>
      </w:r>
      <w:r w:rsidRPr="004B56DA">
        <w:rPr>
          <w:rFonts w:asciiTheme="minorHAnsi" w:hAnsiTheme="minorHAnsi" w:cs="Calibri Light"/>
          <w:b/>
          <w:lang w:val="sq-AL"/>
        </w:rPr>
        <w:t xml:space="preserve">.12.2018. </w:t>
      </w:r>
      <w:r w:rsidRPr="004B56DA">
        <w:rPr>
          <w:rFonts w:asciiTheme="minorHAnsi" w:hAnsiTheme="minorHAnsi" w:cs="Calibri Light"/>
          <w:lang w:val="sq-AL"/>
        </w:rPr>
        <w:t xml:space="preserve">Aplikacioni mund të shkarkohet nga </w:t>
      </w:r>
      <w:proofErr w:type="spellStart"/>
      <w:r w:rsidRPr="004B56DA">
        <w:rPr>
          <w:rFonts w:asciiTheme="minorHAnsi" w:hAnsiTheme="minorHAnsi" w:cs="Calibri Light"/>
          <w:lang w:val="sq-AL"/>
        </w:rPr>
        <w:t>webfaqja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e </w:t>
      </w:r>
      <w:r>
        <w:rPr>
          <w:rFonts w:asciiTheme="minorHAnsi" w:hAnsiTheme="minorHAnsi" w:cs="Calibri Light"/>
          <w:lang w:val="sq-AL"/>
        </w:rPr>
        <w:t>“</w:t>
      </w:r>
      <w:proofErr w:type="spellStart"/>
      <w:r w:rsidRPr="004B56DA">
        <w:rPr>
          <w:rFonts w:asciiTheme="minorHAnsi" w:hAnsiTheme="minorHAnsi" w:cs="Calibri Light"/>
          <w:lang w:val="sq-AL"/>
        </w:rPr>
        <w:t>Termokos</w:t>
      </w:r>
      <w:proofErr w:type="spellEnd"/>
      <w:r>
        <w:rPr>
          <w:rFonts w:asciiTheme="minorHAnsi" w:hAnsiTheme="minorHAnsi" w:cs="Calibri Light"/>
          <w:lang w:val="sq-AL"/>
        </w:rPr>
        <w:t>”-</w:t>
      </w:r>
      <w:r w:rsidRPr="004B56DA">
        <w:rPr>
          <w:rFonts w:asciiTheme="minorHAnsi" w:hAnsiTheme="minorHAnsi" w:cs="Calibri Light"/>
          <w:lang w:val="sq-AL"/>
        </w:rPr>
        <w:t xml:space="preserve">it </w:t>
      </w:r>
      <w:hyperlink r:id="rId7" w:history="1">
        <w:r w:rsidRPr="004B56DA">
          <w:rPr>
            <w:rStyle w:val="Hyperlink"/>
            <w:rFonts w:asciiTheme="minorHAnsi" w:hAnsiTheme="minorHAnsi" w:cs="Calibri Light"/>
            <w:lang w:val="sq-AL"/>
          </w:rPr>
          <w:t>www.termokos.org</w:t>
        </w:r>
      </w:hyperlink>
      <w:r w:rsidRPr="004B56DA">
        <w:rPr>
          <w:rStyle w:val="Hyperlink"/>
          <w:rFonts w:asciiTheme="minorHAnsi" w:hAnsiTheme="minorHAnsi" w:cs="Calibri Light"/>
          <w:b/>
          <w:lang w:val="sq-AL"/>
        </w:rPr>
        <w:t xml:space="preserve"> </w:t>
      </w:r>
      <w:r w:rsidRPr="004B56DA">
        <w:rPr>
          <w:rFonts w:asciiTheme="minorHAnsi" w:hAnsiTheme="minorHAnsi" w:cs="Calibri Light"/>
          <w:lang w:val="sq-AL"/>
        </w:rPr>
        <w:t xml:space="preserve">apo mund të merret në zyrat e </w:t>
      </w:r>
      <w:r>
        <w:rPr>
          <w:rFonts w:asciiTheme="minorHAnsi" w:hAnsiTheme="minorHAnsi" w:cs="Calibri Light"/>
          <w:lang w:val="sq-AL"/>
        </w:rPr>
        <w:t>ndërmarrjes</w:t>
      </w:r>
      <w:r w:rsidRPr="004B56DA">
        <w:rPr>
          <w:rFonts w:asciiTheme="minorHAnsi" w:hAnsiTheme="minorHAnsi" w:cs="Calibri Light"/>
          <w:lang w:val="sq-AL"/>
        </w:rPr>
        <w:t>.</w:t>
      </w:r>
    </w:p>
    <w:p w:rsidR="00333D18" w:rsidRPr="004B56DA" w:rsidRDefault="00333D18" w:rsidP="00333D18">
      <w:pPr>
        <w:rPr>
          <w:rFonts w:asciiTheme="minorHAnsi" w:hAnsiTheme="minorHAnsi" w:cs="Calibri Light"/>
          <w:lang w:val="sq-AL"/>
        </w:rPr>
      </w:pPr>
    </w:p>
    <w:p w:rsidR="00333D18" w:rsidRPr="004B56DA" w:rsidRDefault="00333D18" w:rsidP="00333D18">
      <w:pPr>
        <w:rPr>
          <w:rFonts w:asciiTheme="minorHAnsi" w:hAnsiTheme="minorHAnsi" w:cs="Calibri Light"/>
          <w:lang w:val="sq-AL"/>
        </w:rPr>
      </w:pPr>
    </w:p>
    <w:p w:rsidR="00333D18" w:rsidRPr="004B56DA" w:rsidRDefault="00333D18" w:rsidP="00333D18">
      <w:pPr>
        <w:rPr>
          <w:rFonts w:asciiTheme="minorHAnsi" w:hAnsiTheme="minorHAnsi" w:cs="Calibri Light"/>
          <w:lang w:val="sq-AL"/>
        </w:rPr>
      </w:pPr>
    </w:p>
    <w:p w:rsidR="00333D18" w:rsidRPr="004B56DA" w:rsidRDefault="00333D18" w:rsidP="00333D18">
      <w:pPr>
        <w:spacing w:after="0" w:line="240" w:lineRule="auto"/>
        <w:rPr>
          <w:rFonts w:asciiTheme="minorHAnsi" w:hAnsiTheme="minorHAnsi" w:cs="Calibri Light"/>
          <w:lang w:val="sq-AL"/>
        </w:rPr>
      </w:pPr>
    </w:p>
    <w:p w:rsidR="00333D18" w:rsidRPr="004B56DA" w:rsidRDefault="00333D18" w:rsidP="00333D18">
      <w:pPr>
        <w:spacing w:after="0" w:line="240" w:lineRule="auto"/>
        <w:rPr>
          <w:rFonts w:asciiTheme="minorHAnsi" w:hAnsiTheme="minorHAnsi" w:cs="Calibri Light"/>
          <w:lang w:val="sq-AL"/>
        </w:rPr>
      </w:pPr>
    </w:p>
    <w:sectPr w:rsidR="00333D18" w:rsidRPr="004B56DA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74"/>
    <w:rsid w:val="000458DB"/>
    <w:rsid w:val="001013CC"/>
    <w:rsid w:val="00103C73"/>
    <w:rsid w:val="001639D6"/>
    <w:rsid w:val="001A5761"/>
    <w:rsid w:val="001E40E8"/>
    <w:rsid w:val="00251EAE"/>
    <w:rsid w:val="002807A5"/>
    <w:rsid w:val="003221CD"/>
    <w:rsid w:val="00333D18"/>
    <w:rsid w:val="0036662F"/>
    <w:rsid w:val="00377277"/>
    <w:rsid w:val="00397AC7"/>
    <w:rsid w:val="003A36D0"/>
    <w:rsid w:val="003B0B93"/>
    <w:rsid w:val="003E408C"/>
    <w:rsid w:val="003E6FDC"/>
    <w:rsid w:val="003F34CA"/>
    <w:rsid w:val="00404867"/>
    <w:rsid w:val="00414491"/>
    <w:rsid w:val="004314F8"/>
    <w:rsid w:val="004462A9"/>
    <w:rsid w:val="004B0737"/>
    <w:rsid w:val="004B37B7"/>
    <w:rsid w:val="004B56DA"/>
    <w:rsid w:val="004E6B05"/>
    <w:rsid w:val="00501A96"/>
    <w:rsid w:val="00501CEA"/>
    <w:rsid w:val="00516812"/>
    <w:rsid w:val="00521674"/>
    <w:rsid w:val="00522AD5"/>
    <w:rsid w:val="005376CC"/>
    <w:rsid w:val="006900BD"/>
    <w:rsid w:val="0069134A"/>
    <w:rsid w:val="006959A5"/>
    <w:rsid w:val="00737C21"/>
    <w:rsid w:val="00747A93"/>
    <w:rsid w:val="0075247C"/>
    <w:rsid w:val="00835EFB"/>
    <w:rsid w:val="00852BF0"/>
    <w:rsid w:val="0086309C"/>
    <w:rsid w:val="00895B37"/>
    <w:rsid w:val="008E2D90"/>
    <w:rsid w:val="008E416B"/>
    <w:rsid w:val="008F613F"/>
    <w:rsid w:val="00904F59"/>
    <w:rsid w:val="009773A1"/>
    <w:rsid w:val="00982A89"/>
    <w:rsid w:val="009C280F"/>
    <w:rsid w:val="00A34BA8"/>
    <w:rsid w:val="00A370AA"/>
    <w:rsid w:val="00A40F8C"/>
    <w:rsid w:val="00A65CF2"/>
    <w:rsid w:val="00A727D4"/>
    <w:rsid w:val="00A74457"/>
    <w:rsid w:val="00AF6E20"/>
    <w:rsid w:val="00B223A9"/>
    <w:rsid w:val="00B551F4"/>
    <w:rsid w:val="00BB6D63"/>
    <w:rsid w:val="00C129C0"/>
    <w:rsid w:val="00C27908"/>
    <w:rsid w:val="00C3644F"/>
    <w:rsid w:val="00C93CE1"/>
    <w:rsid w:val="00CA3BED"/>
    <w:rsid w:val="00CC523C"/>
    <w:rsid w:val="00D053D2"/>
    <w:rsid w:val="00D12395"/>
    <w:rsid w:val="00D1278E"/>
    <w:rsid w:val="00D24A9F"/>
    <w:rsid w:val="00D52688"/>
    <w:rsid w:val="00D90273"/>
    <w:rsid w:val="00DE78CA"/>
    <w:rsid w:val="00E00702"/>
    <w:rsid w:val="00E144F1"/>
    <w:rsid w:val="00E50D0F"/>
    <w:rsid w:val="00E54D0A"/>
    <w:rsid w:val="00E845F5"/>
    <w:rsid w:val="00E92720"/>
    <w:rsid w:val="00E93755"/>
    <w:rsid w:val="00EA3E0D"/>
    <w:rsid w:val="00ED7F6F"/>
    <w:rsid w:val="00EE2F2D"/>
    <w:rsid w:val="00F07C8F"/>
    <w:rsid w:val="00F22555"/>
    <w:rsid w:val="00F338CF"/>
    <w:rsid w:val="00F429C2"/>
    <w:rsid w:val="00F44F63"/>
    <w:rsid w:val="00F47898"/>
    <w:rsid w:val="00F6408C"/>
    <w:rsid w:val="00F825D8"/>
    <w:rsid w:val="00FA6402"/>
    <w:rsid w:val="00FB33FE"/>
    <w:rsid w:val="00FD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727C"/>
  <w15:docId w15:val="{708162B9-33D8-4E5B-AE7B-4C3FB53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0E86-5798-4E69-9C3E-F7702DFC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Valon Miftari</cp:lastModifiedBy>
  <cp:revision>2</cp:revision>
  <cp:lastPrinted>2018-10-30T14:05:00Z</cp:lastPrinted>
  <dcterms:created xsi:type="dcterms:W3CDTF">2018-11-07T07:19:00Z</dcterms:created>
  <dcterms:modified xsi:type="dcterms:W3CDTF">2018-11-07T07:19:00Z</dcterms:modified>
</cp:coreProperties>
</file>